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bCs/>
          <w:kern w:val="0"/>
          <w:sz w:val="28"/>
          <w:szCs w:val="28"/>
        </w:rPr>
      </w:pPr>
      <w:r>
        <w:rPr>
          <w:rFonts w:hint="default" w:ascii="Times New Roman" w:hAnsi="Times New Roman" w:eastAsia="黑体" w:cs="Times New Roman"/>
          <w:bCs/>
          <w:kern w:val="0"/>
        </w:rPr>
        <w:t>附件1</w:t>
      </w:r>
    </w:p>
    <w:p>
      <w:pPr>
        <w:widowControl/>
        <w:jc w:val="left"/>
        <w:rPr>
          <w:rFonts w:hint="default" w:ascii="Times New Roman" w:hAnsi="Times New Roman" w:eastAsia="仿宋_GB2312" w:cs="Times New Roman"/>
          <w:bCs/>
          <w:kern w:val="0"/>
          <w:sz w:val="28"/>
          <w:szCs w:val="28"/>
        </w:rPr>
      </w:pPr>
    </w:p>
    <w:p>
      <w:pPr>
        <w:widowControl/>
        <w:jc w:val="center"/>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西南大学继续教育研究项目</w:t>
      </w:r>
    </w:p>
    <w:p>
      <w:pPr>
        <w:widowControl/>
        <w:jc w:val="center"/>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2021年度申报指南</w:t>
      </w:r>
    </w:p>
    <w:p>
      <w:pPr>
        <w:widowControl/>
        <w:jc w:val="center"/>
        <w:rPr>
          <w:rFonts w:hint="default" w:ascii="Times New Roman" w:hAnsi="Times New Roman" w:eastAsia="华文中宋" w:cs="Times New Roman"/>
          <w:b/>
          <w:bCs/>
          <w:kern w:val="0"/>
          <w:sz w:val="36"/>
          <w:szCs w:val="36"/>
        </w:rPr>
      </w:pPr>
    </w:p>
    <w:p>
      <w:pPr>
        <w:widowControl/>
        <w:jc w:val="center"/>
        <w:rPr>
          <w:rFonts w:hint="default" w:ascii="Times New Roman" w:hAnsi="Times New Roman" w:eastAsia="黑体" w:cs="Times New Roman"/>
          <w:b/>
          <w:bCs/>
          <w:kern w:val="0"/>
          <w:sz w:val="44"/>
          <w:szCs w:val="44"/>
        </w:rPr>
      </w:pPr>
    </w:p>
    <w:p>
      <w:pPr>
        <w:widowControl/>
        <w:rPr>
          <w:rFonts w:hint="default" w:ascii="Times New Roman" w:hAnsi="Times New Roman" w:eastAsia="黑体" w:cs="Times New Roman"/>
          <w:b/>
          <w:bCs/>
          <w:kern w:val="0"/>
          <w:sz w:val="44"/>
          <w:szCs w:val="44"/>
        </w:rPr>
      </w:pPr>
      <w:r>
        <w:rPr>
          <w:rFonts w:hint="default" w:ascii="Times New Roman" w:hAnsi="Times New Roman" w:eastAsia="黑体" w:cs="Times New Roman"/>
          <w:b/>
          <w:bCs/>
          <w:kern w:val="0"/>
          <w:sz w:val="44"/>
          <w:szCs w:val="44"/>
        </w:rPr>
        <w:t xml:space="preserve">                   </w:t>
      </w:r>
    </w:p>
    <w:p>
      <w:pPr>
        <w:widowControl/>
        <w:jc w:val="center"/>
        <w:rPr>
          <w:rFonts w:hint="default" w:ascii="Times New Roman" w:hAnsi="Times New Roman" w:eastAsia="黑体" w:cs="Times New Roman"/>
          <w:b/>
          <w:bCs/>
          <w:kern w:val="0"/>
          <w:sz w:val="44"/>
          <w:szCs w:val="44"/>
        </w:rPr>
      </w:pPr>
    </w:p>
    <w:p>
      <w:pPr>
        <w:widowControl/>
        <w:jc w:val="center"/>
        <w:rPr>
          <w:rFonts w:hint="default" w:ascii="Times New Roman" w:hAnsi="Times New Roman" w:eastAsia="黑体" w:cs="Times New Roman"/>
          <w:b/>
          <w:bCs/>
          <w:kern w:val="0"/>
          <w:sz w:val="44"/>
          <w:szCs w:val="44"/>
        </w:rPr>
      </w:pPr>
    </w:p>
    <w:p>
      <w:pPr>
        <w:widowControl/>
        <w:rPr>
          <w:rFonts w:hint="default" w:ascii="Times New Roman" w:hAnsi="Times New Roman" w:eastAsia="黑体" w:cs="Times New Roman"/>
          <w:b/>
          <w:bCs/>
          <w:kern w:val="0"/>
          <w:sz w:val="44"/>
          <w:szCs w:val="44"/>
        </w:rPr>
      </w:pPr>
    </w:p>
    <w:p>
      <w:pPr>
        <w:widowControl/>
        <w:jc w:val="center"/>
        <w:rPr>
          <w:rFonts w:hint="default" w:ascii="Times New Roman" w:hAnsi="Times New Roman" w:eastAsia="黑体" w:cs="Times New Roman"/>
          <w:b/>
          <w:bCs/>
          <w:kern w:val="0"/>
          <w:sz w:val="44"/>
          <w:szCs w:val="44"/>
        </w:rPr>
      </w:pPr>
    </w:p>
    <w:p>
      <w:pPr>
        <w:widowControl/>
        <w:jc w:val="center"/>
        <w:rPr>
          <w:rFonts w:hint="default" w:ascii="Times New Roman" w:hAnsi="Times New Roman" w:eastAsia="楷体_GB2312" w:cs="Times New Roman"/>
          <w:b/>
          <w:bCs/>
          <w:kern w:val="0"/>
          <w:sz w:val="36"/>
          <w:szCs w:val="36"/>
        </w:rPr>
      </w:pPr>
    </w:p>
    <w:p>
      <w:pPr>
        <w:widowControl/>
        <w:jc w:val="center"/>
        <w:rPr>
          <w:rFonts w:hint="default" w:ascii="Times New Roman" w:hAnsi="Times New Roman" w:eastAsia="楷体_GB2312" w:cs="Times New Roman"/>
          <w:b/>
          <w:bCs/>
          <w:kern w:val="0"/>
          <w:sz w:val="36"/>
          <w:szCs w:val="36"/>
        </w:rPr>
      </w:pPr>
    </w:p>
    <w:p>
      <w:pPr>
        <w:widowControl/>
        <w:jc w:val="center"/>
        <w:rPr>
          <w:rFonts w:hint="default" w:ascii="Times New Roman" w:hAnsi="Times New Roman" w:eastAsia="楷体_GB2312" w:cs="Times New Roman"/>
          <w:b/>
          <w:bCs/>
          <w:kern w:val="0"/>
          <w:sz w:val="36"/>
          <w:szCs w:val="36"/>
        </w:rPr>
      </w:pPr>
    </w:p>
    <w:p>
      <w:pPr>
        <w:widowControl/>
        <w:jc w:val="center"/>
        <w:rPr>
          <w:rFonts w:hint="default" w:ascii="Times New Roman" w:hAnsi="Times New Roman" w:eastAsia="楷体_GB2312" w:cs="Times New Roman"/>
          <w:b/>
          <w:bCs/>
          <w:kern w:val="0"/>
          <w:sz w:val="36"/>
          <w:szCs w:val="36"/>
        </w:rPr>
      </w:pPr>
      <w:r>
        <w:rPr>
          <w:rFonts w:hint="default" w:ascii="Times New Roman" w:hAnsi="Times New Roman" w:eastAsia="楷体_GB2312" w:cs="Times New Roman"/>
          <w:b/>
          <w:bCs/>
          <w:kern w:val="0"/>
          <w:sz w:val="36"/>
          <w:szCs w:val="36"/>
        </w:rPr>
        <w:t>培训与继续教育学院</w:t>
      </w:r>
    </w:p>
    <w:p>
      <w:pPr>
        <w:widowControl/>
        <w:jc w:val="center"/>
        <w:rPr>
          <w:rFonts w:hint="default" w:ascii="Times New Roman" w:hAnsi="Times New Roman" w:eastAsia="楷体_GB2312" w:cs="Times New Roman"/>
          <w:b/>
          <w:bCs/>
          <w:kern w:val="0"/>
          <w:sz w:val="36"/>
          <w:szCs w:val="36"/>
        </w:rPr>
      </w:pPr>
      <w:r>
        <w:rPr>
          <w:rFonts w:hint="default" w:ascii="Times New Roman" w:hAnsi="Times New Roman" w:eastAsia="楷体_GB2312" w:cs="Times New Roman"/>
          <w:b/>
          <w:bCs/>
          <w:kern w:val="0"/>
          <w:sz w:val="36"/>
          <w:szCs w:val="36"/>
        </w:rPr>
        <w:t>2021年9月</w:t>
      </w:r>
    </w:p>
    <w:p>
      <w:pPr>
        <w:rPr>
          <w:rFonts w:hint="default" w:ascii="Times New Roman" w:hAnsi="Times New Roman" w:eastAsia="仿宋_GB2312" w:cs="Times New Roman"/>
          <w:b/>
          <w:bCs/>
        </w:rPr>
        <w:sectPr>
          <w:footerReference r:id="rId3" w:type="default"/>
          <w:pgSz w:w="11906" w:h="16838"/>
          <w:pgMar w:top="1701" w:right="1134" w:bottom="1134" w:left="1134" w:header="851" w:footer="992" w:gutter="0"/>
          <w:pgNumType w:start="1"/>
          <w:cols w:space="425" w:num="1"/>
          <w:docGrid w:type="lines" w:linePitch="435" w:charSpace="0"/>
        </w:sectPr>
      </w:pPr>
    </w:p>
    <w:p>
      <w:pPr>
        <w:pStyle w:val="2"/>
        <w:jc w:val="center"/>
        <w:rPr>
          <w:rFonts w:hint="default" w:ascii="Times New Roman" w:hAnsi="Times New Roman" w:eastAsia="黑体" w:cs="Times New Roman"/>
          <w:b w:val="0"/>
          <w:sz w:val="44"/>
          <w:szCs w:val="44"/>
        </w:rPr>
      </w:pPr>
      <w:bookmarkStart w:id="0" w:name="_Toc430070860"/>
      <w:r>
        <w:rPr>
          <w:rFonts w:hint="default" w:ascii="Times New Roman" w:hAnsi="Times New Roman" w:eastAsia="黑体" w:cs="Times New Roman"/>
          <w:b w:val="0"/>
          <w:sz w:val="44"/>
          <w:szCs w:val="44"/>
        </w:rPr>
        <w:t>项目说明</w:t>
      </w:r>
      <w:bookmarkEnd w:id="0"/>
    </w:p>
    <w:p>
      <w:pPr>
        <w:ind w:firstLine="562" w:firstLineChars="200"/>
        <w:rPr>
          <w:rFonts w:hint="default" w:ascii="Times New Roman" w:hAnsi="Times New Roman" w:eastAsia="仿宋" w:cs="Times New Roman"/>
          <w:b/>
          <w:sz w:val="28"/>
          <w:szCs w:val="28"/>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一、指导思想</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西南大学继续教育研究项目（以下简称项目）以习近平新时代中国特色社会主义思想为指导，以全面贯彻党的教育方针和党的十九大精神，落实立德树人根本任务，完善培训与继续教育人才培养体系，提高人才培养质量，推进教学改革，提高工作科学化水平，促进培训与继续教育更好更快发展为目标。</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研究内容以应用研究为主，力求具有现实性、针对性和较强的决策参考价值，同时鼓励具备原创性、开拓性和较高的学术思想价值的高水准研究成果。</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继续教育研究项目管理本着“公开、公正、公平”的原则，择优立项、严格管理。</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办学学院（部）负责本单位的申报、资格审查及相关管理，协助培训与继续教育学院做好项目的申报、中期检查、结题检查等工作；在项目立项申请、中期检查和结题成果审核中严格落实意识形态工作责任制，坚持正确的政治立场、政治方向、政治原则、政治道路。加强对学术成果的意识形态与防范宗教渗透审查。</w:t>
      </w:r>
    </w:p>
    <w:p>
      <w:pPr>
        <w:pStyle w:val="4"/>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二、课题分类</w:t>
      </w:r>
    </w:p>
    <w:p>
      <w:pPr>
        <w:pStyle w:val="4"/>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研究课题按研究选题价值、质量和性质分为重点项目和一般项目2类。</w:t>
      </w:r>
    </w:p>
    <w:p>
      <w:pPr>
        <w:pStyle w:val="4"/>
        <w:ind w:firstLine="560" w:firstLineChars="200"/>
        <w:rPr>
          <w:rFonts w:hint="default" w:ascii="Times New Roman" w:hAnsi="Times New Roman" w:eastAsia="仿宋" w:cs="Times New Roman"/>
          <w:sz w:val="28"/>
          <w:szCs w:val="28"/>
        </w:rPr>
      </w:pPr>
      <w:r>
        <w:rPr>
          <w:rFonts w:hint="default" w:ascii="Times New Roman" w:hAnsi="Times New Roman" w:eastAsia="方正小标宋简体" w:cs="Times New Roman"/>
          <w:sz w:val="28"/>
          <w:szCs w:val="28"/>
        </w:rPr>
        <w:t>㈠</w:t>
      </w:r>
      <w:r>
        <w:rPr>
          <w:rFonts w:hint="default" w:ascii="Times New Roman" w:hAnsi="Times New Roman" w:eastAsia="仿宋" w:cs="Times New Roman"/>
          <w:sz w:val="28"/>
          <w:szCs w:val="28"/>
        </w:rPr>
        <w:t>重点项目主要指为解决培训与继续教育工作中急需解决的重要问题，能够取得实质性的成果，有较高应用价值的研究项目，研究经费为3-6万元。</w:t>
      </w:r>
    </w:p>
    <w:p>
      <w:pPr>
        <w:pStyle w:val="4"/>
        <w:ind w:firstLine="560" w:firstLineChars="200"/>
        <w:rPr>
          <w:rFonts w:hint="default" w:ascii="Times New Roman" w:hAnsi="Times New Roman" w:eastAsia="仿宋" w:cs="Times New Roman"/>
          <w:sz w:val="28"/>
          <w:szCs w:val="28"/>
        </w:rPr>
      </w:pPr>
      <w:r>
        <w:rPr>
          <w:rFonts w:hint="default" w:ascii="Times New Roman" w:hAnsi="Times New Roman" w:eastAsia="方正小标宋简体" w:cs="Times New Roman"/>
          <w:sz w:val="28"/>
          <w:szCs w:val="28"/>
        </w:rPr>
        <w:t>㈡</w:t>
      </w:r>
      <w:r>
        <w:rPr>
          <w:rFonts w:hint="default" w:ascii="Times New Roman" w:hAnsi="Times New Roman" w:eastAsia="仿宋" w:cs="Times New Roman"/>
          <w:sz w:val="28"/>
          <w:szCs w:val="28"/>
        </w:rPr>
        <w:t>一般项目主要围绕培训与继续教育发展方向，解决培训与继续教育工作中的一般性问题进行的研究，实践周期短，受益面相对较小，对重点项目研究起支撑性作用的研究项目，研究经费为1-3万元。</w:t>
      </w:r>
    </w:p>
    <w:p>
      <w:pPr>
        <w:pStyle w:val="4"/>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研究周期：</w:t>
      </w:r>
      <w:r>
        <w:rPr>
          <w:rFonts w:hint="default" w:ascii="Times New Roman" w:hAnsi="Times New Roman" w:eastAsia="仿宋" w:cs="Times New Roman"/>
          <w:sz w:val="28"/>
          <w:szCs w:val="28"/>
        </w:rPr>
        <w:t>未作特殊说明，一般为两年。</w:t>
      </w:r>
    </w:p>
    <w:p>
      <w:pPr>
        <w:pStyle w:val="4"/>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三、申报条件</w:t>
      </w:r>
    </w:p>
    <w:p>
      <w:pPr>
        <w:pStyle w:val="4"/>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申报人须为学校在编在岗人员，具有良好政治思想素质，严谨的学术态度，身体健康，具有相对稳定的研究方向和协同合作的团队精神，应具有独立开展研究和组织开展研究的能力，能作为项目实际主持人承担实质性研究工作。申请人需具有中级以上（含）专业技术职称（职务）。课题组成员或推荐人须征得本人同意并签字确认。</w:t>
      </w:r>
    </w:p>
    <w:p>
      <w:pPr>
        <w:pStyle w:val="3"/>
        <w:ind w:firstLine="640"/>
        <w:rPr>
          <w:rFonts w:hint="default" w:ascii="Times New Roman" w:hAnsi="Times New Roman" w:eastAsia="仿宋" w:cs="Times New Roman"/>
          <w:szCs w:val="28"/>
        </w:rPr>
      </w:pPr>
      <w:r>
        <w:rPr>
          <w:rFonts w:hint="default" w:ascii="Times New Roman" w:hAnsi="Times New Roman" w:eastAsia="仿宋" w:cs="Times New Roman"/>
          <w:szCs w:val="28"/>
        </w:rPr>
        <w:t>为避免一题多报、交叉申请和重复立项，确保申请人有足够的时间和精力从事课题研究，作如下限定：（1）课题负责人同年度只能申报一个项目课题，且同年度最多作为课题组成员参与一个项目课题申请；已获得立项资助的项目不得以相同或近似项目申报项目。（2）在研的西南大学继续教育研究项目课题负责人不能申请新的项目课题（结项证书标注日期在2021年9月30日之前的可以申请）。</w:t>
      </w: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四、中期检查</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自项目批准立项之日起至研究时限过半时，项目主持人应填写《西南大学继续教育研究项目中期报告书》，内容包括：项目研究进度，项目负责人和主要研究人员参加研究的情况，实践情况，已经取得的阶段性成果及经费使用情况等，并报学院备案检查。学院组织专家对项目进行中期检查、评审，对逾期不提交《中期报告书》的，或未经批准擅自修改和调整项目内容或计划的，将视情况同意或中止项目的研究工作；对研究实施不力或难以按原定计划完成的项目，将终止或撤销该项目，并冻结项目拨款和追回已拨经费。</w:t>
      </w: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五、项目结项</w:t>
      </w:r>
    </w:p>
    <w:p>
      <w:pPr>
        <w:pStyle w:val="4"/>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研究任务完成后，项目主持人根据学校通知要求，填写《西南大学继续教育研究项目结题验收表》，研究总结报告、成果附件及其他可以说明研究成果的有关材料。</w:t>
      </w:r>
    </w:p>
    <w:p>
      <w:pPr>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六、其他事项</w:t>
      </w:r>
    </w:p>
    <w:p>
      <w:pPr>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1.</w:t>
      </w:r>
      <w:r>
        <w:rPr>
          <w:rFonts w:hint="default" w:ascii="Times New Roman" w:hAnsi="Times New Roman" w:eastAsia="仿宋" w:cs="Times New Roman"/>
          <w:sz w:val="28"/>
          <w:szCs w:val="28"/>
        </w:rPr>
        <w:t>由本项目所有研究成果（包括但不限于资源、案例、平台、文献、著作等），培训与继续教育学院享有永久使用版权。</w:t>
      </w:r>
    </w:p>
    <w:p>
      <w:pPr>
        <w:pStyle w:val="4"/>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2.</w:t>
      </w:r>
      <w:r>
        <w:rPr>
          <w:rFonts w:hint="default" w:ascii="Times New Roman" w:hAnsi="Times New Roman" w:eastAsia="仿宋" w:cs="Times New Roman"/>
          <w:sz w:val="28"/>
          <w:szCs w:val="28"/>
        </w:rPr>
        <w:t>本指南中涉及的《立项申报书》、《中期报告书》、《结题验收表》由培训与继续教育学院组织制定。</w:t>
      </w:r>
    </w:p>
    <w:p>
      <w:pPr>
        <w:spacing w:line="580" w:lineRule="exact"/>
        <w:jc w:val="center"/>
        <w:rPr>
          <w:rFonts w:hint="default" w:ascii="Times New Roman" w:hAnsi="Times New Roman" w:eastAsia="方正小标宋_GBK" w:cs="Times New Roman"/>
          <w:b/>
          <w:sz w:val="44"/>
          <w:szCs w:val="44"/>
        </w:rPr>
      </w:pPr>
      <w:r>
        <w:rPr>
          <w:rFonts w:hint="default" w:ascii="Times New Roman" w:hAnsi="Times New Roman" w:eastAsia="仿宋" w:cs="Times New Roman"/>
        </w:rPr>
        <w:br w:type="page"/>
      </w:r>
      <w:r>
        <w:rPr>
          <w:rFonts w:hint="default" w:ascii="Times New Roman" w:hAnsi="Times New Roman" w:eastAsia="方正小标宋_GBK" w:cs="Times New Roman"/>
          <w:b/>
          <w:sz w:val="44"/>
          <w:szCs w:val="44"/>
        </w:rPr>
        <w:t>西南大学继续教育研究项目</w:t>
      </w:r>
    </w:p>
    <w:p>
      <w:pPr>
        <w:spacing w:line="580" w:lineRule="exact"/>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2021年度选题指南</w:t>
      </w:r>
    </w:p>
    <w:p>
      <w:pPr>
        <w:autoSpaceDE w:val="0"/>
        <w:autoSpaceDN w:val="0"/>
        <w:adjustRightInd w:val="0"/>
        <w:spacing w:line="580" w:lineRule="exact"/>
        <w:jc w:val="left"/>
        <w:outlineLvl w:val="0"/>
        <w:rPr>
          <w:rFonts w:hint="default" w:ascii="Times New Roman" w:hAnsi="Times New Roman" w:eastAsia="仿宋" w:cs="Times New Roman"/>
          <w:bCs/>
          <w:kern w:val="0"/>
        </w:rPr>
      </w:pPr>
    </w:p>
    <w:p>
      <w:pPr>
        <w:pStyle w:val="2"/>
        <w:spacing w:line="580" w:lineRule="exact"/>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一、综合类</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课程思政的育人体系构建</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影响继续教育高质量发展核心要素研究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继续教育品牌化战略实施途径研究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学历教育的办学风险及应对策略</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非学历教育的办学风险与应对策略</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以校为本、以校为域的中小学教师专业发展整校提质赋能的培训模式研究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南亚国家政府官员减贫与发展能力提升培训模式研究</w:t>
      </w:r>
    </w:p>
    <w:p>
      <w:pPr>
        <w:pStyle w:val="2"/>
        <w:spacing w:line="580" w:lineRule="exact"/>
        <w:rPr>
          <w:rFonts w:hint="default" w:ascii="Times New Roman" w:hAnsi="Times New Roman" w:eastAsia="方正黑体_GBK" w:cs="Times New Roman"/>
          <w:b w:val="0"/>
          <w:kern w:val="0"/>
          <w:sz w:val="32"/>
          <w:szCs w:val="32"/>
        </w:rPr>
      </w:pPr>
      <w:r>
        <w:rPr>
          <w:rFonts w:hint="default" w:ascii="Times New Roman" w:hAnsi="Times New Roman" w:eastAsia="方正黑体_GBK" w:cs="Times New Roman"/>
          <w:b w:val="0"/>
          <w:kern w:val="0"/>
          <w:sz w:val="32"/>
          <w:szCs w:val="32"/>
        </w:rPr>
        <w:t>二、质量建设类</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高质量发展视野下的网络教育课程标准/教学标准研究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继续教育人才社会需求与培养策略研究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高校新入职教师三力（政治能力、教学能力、科研能力）提升培训研究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网络教育远程考试在线巡考模式与路径研究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多维协同的网络教育直播教学模式研究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基于职业能力提升导向的网络教育学生毕业论文答辩学术标准研究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基于项目管理的培训服务质量优化研究</w:t>
      </w:r>
    </w:p>
    <w:p>
      <w:pPr>
        <w:pStyle w:val="2"/>
        <w:spacing w:line="580" w:lineRule="exact"/>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kern w:val="0"/>
          <w:sz w:val="32"/>
          <w:szCs w:val="32"/>
        </w:rPr>
        <w:t>三、教育评价</w:t>
      </w:r>
      <w:r>
        <w:rPr>
          <w:rFonts w:hint="default" w:ascii="Times New Roman" w:hAnsi="Times New Roman" w:eastAsia="方正黑体_GBK" w:cs="Times New Roman"/>
          <w:b w:val="0"/>
          <w:bCs w:val="0"/>
          <w:kern w:val="0"/>
          <w:sz w:val="32"/>
          <w:szCs w:val="32"/>
        </w:rPr>
        <w:t>类</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创新全民终身学习评价，促进学习型社会建设</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继续教育学生学习效果社会评价</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教师信息化教学创新力的增值评价研究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高校非学历继续教育培训评价机制及实施路径研究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实践教学多元化的开展及考核方式探索</w:t>
      </w:r>
    </w:p>
    <w:p>
      <w:pPr>
        <w:pStyle w:val="2"/>
        <w:spacing w:line="580" w:lineRule="exact"/>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kern w:val="0"/>
          <w:sz w:val="32"/>
          <w:szCs w:val="32"/>
        </w:rPr>
        <w:t>四、技术融合</w:t>
      </w:r>
      <w:r>
        <w:rPr>
          <w:rFonts w:hint="default" w:ascii="Times New Roman" w:hAnsi="Times New Roman" w:eastAsia="方正黑体_GBK" w:cs="Times New Roman"/>
          <w:b w:val="0"/>
          <w:bCs w:val="0"/>
          <w:kern w:val="0"/>
          <w:sz w:val="32"/>
          <w:szCs w:val="32"/>
        </w:rPr>
        <w:t>类</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基于网络摄像头视频分析的学生在线学习参与度研究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增强现实支持的沉浸式在线学习工具研究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网络教育大数据实时舆情态势感知平台研究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作为辅助教学的研究生在线课程资源建设模式研究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网络教育数据中台建设的探索与实践</w:t>
      </w:r>
    </w:p>
    <w:p>
      <w:pPr>
        <w:pStyle w:val="2"/>
        <w:spacing w:line="580" w:lineRule="exact"/>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kern w:val="0"/>
          <w:sz w:val="32"/>
          <w:szCs w:val="32"/>
        </w:rPr>
        <w:t>五、</w:t>
      </w:r>
      <w:r>
        <w:rPr>
          <w:rFonts w:hint="default" w:ascii="Times New Roman" w:hAnsi="Times New Roman" w:eastAsia="方正黑体_GBK" w:cs="Times New Roman"/>
          <w:b w:val="0"/>
          <w:sz w:val="32"/>
          <w:szCs w:val="32"/>
        </w:rPr>
        <w:t>资源建设类</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新文科背景下面向高阶思维能力的在线教学案例库建设标准研究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基于Canvas的混合式课程开发与应用</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基于在线学生专注度自动分析的自适应课件研究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基于云服务的虚拟增强在线课程设计研究</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基于认知地图的个性化学习资源构建</w:t>
      </w:r>
    </w:p>
    <w:p>
      <w:pPr>
        <w:pStyle w:val="8"/>
        <w:numPr>
          <w:ilvl w:val="0"/>
          <w:numId w:val="1"/>
        </w:numPr>
        <w:ind w:firstLineChars="0"/>
        <w:rPr>
          <w:rFonts w:hint="default" w:ascii="Times New Roman" w:hAnsi="Times New Roman" w:cs="Times New Roman"/>
          <w:sz w:val="28"/>
          <w:szCs w:val="28"/>
        </w:rPr>
      </w:pPr>
      <w:r>
        <w:rPr>
          <w:rFonts w:hint="default" w:ascii="Times New Roman" w:hAnsi="Times New Roman" w:cs="Times New Roman"/>
          <w:sz w:val="28"/>
          <w:szCs w:val="28"/>
        </w:rPr>
        <w:t>自主选学机制下教师培训课程资源建设研究</w:t>
      </w:r>
    </w:p>
    <w:p>
      <w:pPr>
        <w:spacing w:line="580" w:lineRule="exact"/>
        <w:ind w:firstLine="640" w:firstLineChars="200"/>
        <w:rPr>
          <w:rFonts w:hint="default" w:ascii="Times New Roman" w:hAnsi="Times New Roman" w:eastAsia="仿宋" w:cs="Times New Roman"/>
          <w:kern w:val="0"/>
        </w:rPr>
      </w:pPr>
      <w:r>
        <w:rPr>
          <w:rFonts w:hint="default" w:ascii="Times New Roman" w:hAnsi="Times New Roman" w:eastAsia="仿宋" w:cs="Times New Roman"/>
          <w:kern w:val="0"/>
        </w:rPr>
        <w:t>除以上所列研究方向外，申报者可以围绕“培训与继续教育立德树人、人才培养、教育培训、质量建设、课程改革、实作实验、社会服务、文化建设、利用大数据、人工智能等教育技术手段促进培训与继续教育质量提高”等内容自拟题目申报，自拟题目一般不设重大课题，每项资助标准不超过3万元，须自行说明预期成果、研究周期和预算金额。</w:t>
      </w:r>
    </w:p>
    <w:p>
      <w:r>
        <w:rPr>
          <w:rFonts w:hint="default" w:ascii="Times New Roman" w:hAnsi="Times New Roman" w:eastAsia="仿宋" w:cs="Times New Roman"/>
          <w:kern w:val="0"/>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91BF8"/>
    <w:multiLevelType w:val="multilevel"/>
    <w:tmpl w:val="32791BF8"/>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1C2B"/>
    <w:rsid w:val="1E7B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555"/>
    </w:pPr>
    <w:rPr>
      <w:rFonts w:hint="eastAsia" w:ascii="楷体_GB2312" w:eastAsia="楷体_GB2312"/>
      <w:sz w:val="28"/>
    </w:rPr>
  </w:style>
  <w:style w:type="paragraph" w:styleId="4">
    <w:name w:val="Plain Text"/>
    <w:basedOn w:val="1"/>
    <w:uiPriority w:val="0"/>
    <w:rPr>
      <w:rFonts w:ascii="宋体" w:hAnsi="Courier New" w:cs="Courier New"/>
      <w:szCs w:val="21"/>
    </w:rPr>
  </w:style>
  <w:style w:type="paragraph" w:styleId="5">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2021-09-15T02:24:00Z</dcterms:created>
  <dc:creator>裴</dc:creator>
  <cp:lastModifiedBy>裴</cp:lastModifiedBy>
  <dcterms:modified xsi:type="dcterms:W3CDTF">2021-09-15T02:24:51Z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5A5E3AE2E5B449AABE9A4D225127FA4C</vt:lpwstr>
  </property>
</Properties>
</file>